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1" w:rsidRDefault="0074016A" w:rsidP="007C7B3E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049FEAE" wp14:editId="11BC53B9">
            <wp:extent cx="2499604" cy="5400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604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4"/>
          <w:lang w:eastAsia="pl-PL"/>
        </w:rPr>
        <w:drawing>
          <wp:inline distT="0" distB="0" distL="0" distR="0" wp14:anchorId="00E49303" wp14:editId="5BE89369">
            <wp:extent cx="1984080" cy="5657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080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11" w:rsidRDefault="001A5A11">
      <w:pPr>
        <w:pStyle w:val="Tekstpodstawowy"/>
        <w:rPr>
          <w:rFonts w:ascii="Times New Roman"/>
          <w:sz w:val="20"/>
        </w:rPr>
      </w:pPr>
    </w:p>
    <w:p w:rsidR="001A5A11" w:rsidRDefault="001A5A11">
      <w:pPr>
        <w:pStyle w:val="Tekstpodstawowy"/>
        <w:rPr>
          <w:rFonts w:ascii="Times New Roman"/>
          <w:sz w:val="20"/>
        </w:rPr>
      </w:pPr>
    </w:p>
    <w:p w:rsidR="001A5A11" w:rsidRDefault="001A5A11">
      <w:pPr>
        <w:pStyle w:val="Tekstpodstawowy"/>
        <w:spacing w:before="6"/>
        <w:rPr>
          <w:rFonts w:ascii="Times New Roman"/>
          <w:sz w:val="20"/>
        </w:rPr>
      </w:pPr>
    </w:p>
    <w:p w:rsidR="001A5A11" w:rsidRPr="00702CBF" w:rsidRDefault="0074016A" w:rsidP="00702CBF">
      <w:pPr>
        <w:pStyle w:val="Nagwek1"/>
        <w:ind w:left="2299" w:hanging="1740"/>
        <w:rPr>
          <w:lang w:val="pl-PL"/>
        </w:rPr>
      </w:pPr>
      <w:r w:rsidRPr="0074016A">
        <w:rPr>
          <w:lang w:val="pl-PL"/>
        </w:rPr>
        <w:t>ZASADY FINANSOWANIA WYJAZDÓW</w:t>
      </w:r>
      <w:r>
        <w:rPr>
          <w:lang w:val="pl-PL"/>
        </w:rPr>
        <w:t xml:space="preserve"> PRACOWNIKÓW DO KRAJÓW PROGRAMU </w:t>
      </w:r>
      <w:r w:rsidRPr="0074016A">
        <w:rPr>
          <w:lang w:val="pl-PL"/>
        </w:rPr>
        <w:t xml:space="preserve"> W RAMACH PROGRAMU </w:t>
      </w:r>
      <w:r w:rsidR="00F376B9">
        <w:rPr>
          <w:lang w:val="pl-PL"/>
        </w:rPr>
        <w:t>ERASMUS+ W ROKU AKADEMICKIM 2019/20</w:t>
      </w:r>
      <w:r>
        <w:rPr>
          <w:lang w:val="pl-PL"/>
        </w:rPr>
        <w:t xml:space="preserve"> (KA103)</w:t>
      </w:r>
    </w:p>
    <w:p w:rsidR="001A5A11" w:rsidRPr="0074016A" w:rsidRDefault="001A5A11">
      <w:pPr>
        <w:pStyle w:val="Tekstpodstawowy"/>
        <w:rPr>
          <w:b/>
          <w:lang w:val="pl-PL"/>
        </w:rPr>
      </w:pPr>
    </w:p>
    <w:p w:rsidR="001A5A11" w:rsidRPr="0074016A" w:rsidRDefault="001A5A11">
      <w:pPr>
        <w:pStyle w:val="Tekstpodstawowy"/>
        <w:spacing w:before="10"/>
        <w:rPr>
          <w:b/>
          <w:sz w:val="23"/>
          <w:lang w:val="pl-PL"/>
        </w:rPr>
      </w:pPr>
    </w:p>
    <w:p w:rsidR="001A5A11" w:rsidRPr="0074016A" w:rsidRDefault="0074016A">
      <w:pPr>
        <w:ind w:left="112"/>
        <w:rPr>
          <w:b/>
          <w:lang w:val="pl-PL"/>
        </w:rPr>
      </w:pPr>
      <w:r w:rsidRPr="0074016A">
        <w:rPr>
          <w:b/>
          <w:lang w:val="pl-PL"/>
        </w:rPr>
        <w:t>Wyjazdy w celach dydaktycznych (STA) i szkoleniowych (STT)</w:t>
      </w:r>
    </w:p>
    <w:p w:rsidR="001A5A11" w:rsidRPr="0074016A" w:rsidRDefault="001A5A11">
      <w:pPr>
        <w:pStyle w:val="Tekstpodstawowy"/>
        <w:rPr>
          <w:b/>
          <w:sz w:val="23"/>
          <w:lang w:val="pl-PL"/>
        </w:rPr>
      </w:pP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833"/>
        </w:tabs>
        <w:spacing w:line="276" w:lineRule="auto"/>
        <w:ind w:right="162"/>
        <w:jc w:val="both"/>
        <w:rPr>
          <w:lang w:val="pl-PL"/>
        </w:rPr>
      </w:pPr>
      <w:r w:rsidRPr="0074016A">
        <w:rPr>
          <w:lang w:val="pl-PL"/>
        </w:rPr>
        <w:t xml:space="preserve">Fundusze Erasmus+ będą wypłacane jako </w:t>
      </w:r>
      <w:r w:rsidRPr="0074016A">
        <w:rPr>
          <w:i/>
          <w:lang w:val="pl-PL"/>
        </w:rPr>
        <w:t xml:space="preserve">wsparcie indywidualne </w:t>
      </w:r>
      <w:r w:rsidRPr="0074016A">
        <w:rPr>
          <w:lang w:val="pl-PL"/>
        </w:rPr>
        <w:t>(stypendium), mające charakter dofinansowania kosztów związanych z wyjazdem i pobytem w uczelni/instytucji zagranicznej (dalej także jako uczelnia/instytucji</w:t>
      </w:r>
      <w:r w:rsidRPr="0074016A">
        <w:rPr>
          <w:spacing w:val="-12"/>
          <w:lang w:val="pl-PL"/>
        </w:rPr>
        <w:t xml:space="preserve"> </w:t>
      </w:r>
      <w:r w:rsidRPr="0074016A">
        <w:rPr>
          <w:lang w:val="pl-PL"/>
        </w:rPr>
        <w:t>przyjmująca).</w:t>
      </w:r>
    </w:p>
    <w:p w:rsidR="001A5A11" w:rsidRPr="0074016A" w:rsidRDefault="001A5A11">
      <w:pPr>
        <w:pStyle w:val="Tekstpodstawowy"/>
        <w:rPr>
          <w:sz w:val="23"/>
          <w:lang w:val="pl-PL"/>
        </w:rPr>
      </w:pPr>
    </w:p>
    <w:p w:rsidR="001A5A11" w:rsidRDefault="0074016A">
      <w:pPr>
        <w:pStyle w:val="Nagwek1"/>
        <w:ind w:left="820"/>
      </w:pPr>
      <w:proofErr w:type="spellStart"/>
      <w:r>
        <w:t>Stawki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indywidualnego</w:t>
      </w:r>
      <w:proofErr w:type="spellEnd"/>
    </w:p>
    <w:p w:rsidR="001A5A11" w:rsidRDefault="001A5A11">
      <w:pPr>
        <w:pStyle w:val="Tekstpodstawowy"/>
        <w:spacing w:before="5"/>
        <w:rPr>
          <w:b/>
          <w:sz w:val="26"/>
        </w:rPr>
      </w:pPr>
    </w:p>
    <w:tbl>
      <w:tblPr>
        <w:tblStyle w:val="TableNormal"/>
        <w:tblW w:w="0" w:type="auto"/>
        <w:tblInd w:w="818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4766"/>
      </w:tblGrid>
      <w:tr w:rsidR="001A5A11" w:rsidRPr="006E6DE7" w:rsidTr="000331E9">
        <w:trPr>
          <w:trHeight w:hRule="exact" w:val="1157"/>
        </w:trPr>
        <w:tc>
          <w:tcPr>
            <w:tcW w:w="3868" w:type="dxa"/>
            <w:tcBorders>
              <w:top w:val="double" w:sz="4" w:space="0" w:color="A0A0A0"/>
              <w:left w:val="single" w:sz="6" w:space="0" w:color="000000"/>
            </w:tcBorders>
          </w:tcPr>
          <w:p w:rsidR="001A5A11" w:rsidRPr="0074016A" w:rsidRDefault="001A5A11">
            <w:pPr>
              <w:pStyle w:val="TableParagraph"/>
              <w:spacing w:before="11"/>
              <w:ind w:left="0" w:right="0"/>
              <w:jc w:val="left"/>
              <w:rPr>
                <w:b/>
                <w:sz w:val="23"/>
                <w:lang w:val="pl-PL"/>
              </w:rPr>
            </w:pPr>
          </w:p>
          <w:p w:rsidR="001A5A11" w:rsidRPr="0074016A" w:rsidRDefault="0074016A">
            <w:pPr>
              <w:pStyle w:val="TableParagraph"/>
              <w:ind w:left="1154"/>
              <w:jc w:val="left"/>
              <w:rPr>
                <w:sz w:val="24"/>
                <w:lang w:val="pl-PL"/>
              </w:rPr>
            </w:pPr>
            <w:r w:rsidRPr="0074016A">
              <w:rPr>
                <w:sz w:val="24"/>
                <w:lang w:val="pl-PL"/>
              </w:rPr>
              <w:t>Kraje należące do danej grupy</w:t>
            </w:r>
          </w:p>
        </w:tc>
        <w:tc>
          <w:tcPr>
            <w:tcW w:w="4766" w:type="dxa"/>
            <w:tcBorders>
              <w:top w:val="double" w:sz="4" w:space="0" w:color="A0A0A0"/>
              <w:right w:val="single" w:sz="6" w:space="0" w:color="A0A0A0"/>
            </w:tcBorders>
          </w:tcPr>
          <w:p w:rsidR="001A5A11" w:rsidRPr="0074016A" w:rsidRDefault="0074016A">
            <w:pPr>
              <w:pStyle w:val="TableParagraph"/>
              <w:ind w:left="98" w:right="96" w:firstLine="1"/>
              <w:rPr>
                <w:sz w:val="24"/>
                <w:lang w:val="pl-PL"/>
              </w:rPr>
            </w:pPr>
            <w:r w:rsidRPr="0074016A">
              <w:rPr>
                <w:sz w:val="24"/>
                <w:lang w:val="pl-PL"/>
              </w:rPr>
              <w:t>Dzienna wartość stypendium w euro przy wyjazdach trwających nie dłużej niż 14 dni</w:t>
            </w:r>
          </w:p>
        </w:tc>
      </w:tr>
      <w:tr w:rsidR="001A5A11" w:rsidRPr="00F3679C" w:rsidTr="000331E9">
        <w:trPr>
          <w:trHeight w:hRule="exact" w:val="1098"/>
        </w:trPr>
        <w:tc>
          <w:tcPr>
            <w:tcW w:w="3868" w:type="dxa"/>
            <w:tcBorders>
              <w:left w:val="single" w:sz="6" w:space="0" w:color="000000"/>
              <w:bottom w:val="nil"/>
            </w:tcBorders>
          </w:tcPr>
          <w:p w:rsidR="001A5A11" w:rsidRPr="0074016A" w:rsidRDefault="0074016A" w:rsidP="007C7B3E">
            <w:pPr>
              <w:pStyle w:val="TableParagraph"/>
              <w:spacing w:line="292" w:lineRule="exact"/>
              <w:jc w:val="left"/>
              <w:rPr>
                <w:sz w:val="24"/>
                <w:lang w:val="pl-PL"/>
              </w:rPr>
            </w:pPr>
            <w:r w:rsidRPr="00702CBF">
              <w:rPr>
                <w:b/>
                <w:sz w:val="24"/>
                <w:lang w:val="pl-PL"/>
              </w:rPr>
              <w:t>Grupa 1</w:t>
            </w:r>
            <w:r w:rsidRPr="0074016A">
              <w:rPr>
                <w:sz w:val="24"/>
                <w:lang w:val="pl-PL"/>
              </w:rPr>
              <w:t>:, Dania,</w:t>
            </w:r>
            <w:r w:rsidR="007C7B3E">
              <w:rPr>
                <w:sz w:val="24"/>
                <w:lang w:val="pl-PL"/>
              </w:rPr>
              <w:t xml:space="preserve"> Finlandia, </w:t>
            </w:r>
            <w:r w:rsidRPr="0074016A">
              <w:rPr>
                <w:sz w:val="24"/>
                <w:lang w:val="pl-PL"/>
              </w:rPr>
              <w:t>Irlandia,</w:t>
            </w:r>
            <w:r w:rsidR="007C7B3E">
              <w:rPr>
                <w:sz w:val="24"/>
                <w:lang w:val="pl-PL"/>
              </w:rPr>
              <w:t xml:space="preserve"> Islandia, </w:t>
            </w:r>
            <w:r w:rsidR="007C7B3E" w:rsidRPr="007C7B3E">
              <w:rPr>
                <w:sz w:val="24"/>
                <w:lang w:val="pl-PL"/>
              </w:rPr>
              <w:t>Lichtenstein, Luksemburg, Norwegia</w:t>
            </w:r>
            <w:r w:rsidR="007C7B3E">
              <w:rPr>
                <w:sz w:val="24"/>
                <w:lang w:val="pl-PL"/>
              </w:rPr>
              <w:t>,</w:t>
            </w:r>
            <w:r w:rsidRPr="0074016A">
              <w:rPr>
                <w:sz w:val="24"/>
                <w:lang w:val="pl-PL"/>
              </w:rPr>
              <w:t xml:space="preserve"> Szwecja, Wielka</w:t>
            </w:r>
            <w:r w:rsidR="00702CBF">
              <w:rPr>
                <w:sz w:val="24"/>
                <w:lang w:val="pl-PL"/>
              </w:rPr>
              <w:t xml:space="preserve"> Brytania</w:t>
            </w:r>
          </w:p>
        </w:tc>
        <w:tc>
          <w:tcPr>
            <w:tcW w:w="4766" w:type="dxa"/>
            <w:tcBorders>
              <w:bottom w:val="nil"/>
              <w:right w:val="single" w:sz="6" w:space="0" w:color="A0A0A0"/>
            </w:tcBorders>
          </w:tcPr>
          <w:p w:rsidR="001A5A11" w:rsidRPr="0074016A" w:rsidRDefault="000331E9" w:rsidP="00702CB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</w:tr>
      <w:tr w:rsidR="001A5A11" w:rsidRPr="007C7B3E" w:rsidTr="000331E9">
        <w:trPr>
          <w:trHeight w:hRule="exact" w:val="987"/>
        </w:trPr>
        <w:tc>
          <w:tcPr>
            <w:tcW w:w="3868" w:type="dxa"/>
            <w:tcBorders>
              <w:left w:val="single" w:sz="6" w:space="0" w:color="000000"/>
              <w:bottom w:val="single" w:sz="4" w:space="0" w:color="auto"/>
            </w:tcBorders>
          </w:tcPr>
          <w:p w:rsidR="001A5A11" w:rsidRPr="0074016A" w:rsidRDefault="0074016A" w:rsidP="007C7B3E">
            <w:pPr>
              <w:pStyle w:val="TableParagraph"/>
              <w:spacing w:line="292" w:lineRule="exact"/>
              <w:jc w:val="left"/>
              <w:rPr>
                <w:sz w:val="24"/>
                <w:lang w:val="pl-PL"/>
              </w:rPr>
            </w:pPr>
            <w:r w:rsidRPr="00702CBF">
              <w:rPr>
                <w:b/>
                <w:sz w:val="24"/>
                <w:lang w:val="pl-PL"/>
              </w:rPr>
              <w:t>Grupa 2</w:t>
            </w:r>
            <w:r w:rsidR="007C7B3E">
              <w:rPr>
                <w:sz w:val="24"/>
                <w:lang w:val="pl-PL"/>
              </w:rPr>
              <w:t>: Austria, Belgia</w:t>
            </w:r>
            <w:r w:rsidRPr="0074016A">
              <w:rPr>
                <w:sz w:val="24"/>
                <w:lang w:val="pl-PL"/>
              </w:rPr>
              <w:t xml:space="preserve">, Cypr, </w:t>
            </w:r>
            <w:r w:rsidR="007C7B3E">
              <w:rPr>
                <w:sz w:val="24"/>
                <w:lang w:val="pl-PL"/>
              </w:rPr>
              <w:t>Francja, Grecja, Hiszpania, Holandia, Malta, Niemcy, Portugalia, Włochy</w:t>
            </w:r>
          </w:p>
        </w:tc>
        <w:tc>
          <w:tcPr>
            <w:tcW w:w="4766" w:type="dxa"/>
            <w:tcBorders>
              <w:bottom w:val="single" w:sz="4" w:space="0" w:color="auto"/>
              <w:right w:val="single" w:sz="6" w:space="0" w:color="A0A0A0"/>
            </w:tcBorders>
          </w:tcPr>
          <w:p w:rsidR="001A5A11" w:rsidRPr="0074016A" w:rsidRDefault="000331E9" w:rsidP="007C7B3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160</w:t>
            </w:r>
          </w:p>
        </w:tc>
      </w:tr>
      <w:tr w:rsidR="001A5A11" w:rsidRPr="00F3679C" w:rsidTr="000331E9">
        <w:trPr>
          <w:trHeight w:hRule="exact" w:val="142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1" w:rsidRPr="0074016A" w:rsidRDefault="00702CBF" w:rsidP="007C7B3E">
            <w:pPr>
              <w:pStyle w:val="TableParagraph"/>
              <w:spacing w:before="2"/>
              <w:jc w:val="left"/>
              <w:rPr>
                <w:sz w:val="24"/>
                <w:lang w:val="pl-PL"/>
              </w:rPr>
            </w:pPr>
            <w:r w:rsidRPr="00702CBF">
              <w:rPr>
                <w:b/>
                <w:sz w:val="24"/>
                <w:lang w:val="pl-PL"/>
              </w:rPr>
              <w:t>Grupa 3</w:t>
            </w:r>
            <w:r>
              <w:rPr>
                <w:sz w:val="24"/>
                <w:lang w:val="pl-PL"/>
              </w:rPr>
              <w:t xml:space="preserve">: </w:t>
            </w:r>
            <w:r w:rsidR="007C7B3E">
              <w:rPr>
                <w:sz w:val="24"/>
                <w:lang w:val="pl-PL"/>
              </w:rPr>
              <w:t>Bułgaria, Chorwacja, Czechy, Estonia</w:t>
            </w:r>
            <w:r>
              <w:rPr>
                <w:sz w:val="24"/>
                <w:lang w:val="pl-PL"/>
              </w:rPr>
              <w:t>, FYROM (była republika Jugosławii, Macedonia),</w:t>
            </w:r>
            <w:r w:rsidR="007C7B3E">
              <w:rPr>
                <w:sz w:val="24"/>
                <w:lang w:val="pl-PL"/>
              </w:rPr>
              <w:t xml:space="preserve"> Litwa,</w:t>
            </w:r>
            <w:r>
              <w:rPr>
                <w:sz w:val="24"/>
                <w:lang w:val="pl-PL"/>
              </w:rPr>
              <w:t xml:space="preserve"> </w:t>
            </w:r>
            <w:r w:rsidR="0074016A" w:rsidRPr="0074016A">
              <w:rPr>
                <w:sz w:val="24"/>
                <w:lang w:val="pl-PL"/>
              </w:rPr>
              <w:t>Łotwa,</w:t>
            </w:r>
            <w:r w:rsidR="007C7B3E">
              <w:rPr>
                <w:sz w:val="24"/>
                <w:lang w:val="pl-PL"/>
              </w:rPr>
              <w:t xml:space="preserve"> Rumunia</w:t>
            </w:r>
            <w:r>
              <w:rPr>
                <w:sz w:val="24"/>
                <w:lang w:val="pl-PL"/>
              </w:rPr>
              <w:t>, Słowacja</w:t>
            </w:r>
            <w:r w:rsidR="007C7B3E">
              <w:rPr>
                <w:sz w:val="24"/>
                <w:lang w:val="pl-PL"/>
              </w:rPr>
              <w:t>, Słowenia, Turcja, Węgry, Polska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1" w:rsidRPr="0074016A" w:rsidRDefault="000331E9" w:rsidP="000331E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140</w:t>
            </w:r>
          </w:p>
        </w:tc>
      </w:tr>
    </w:tbl>
    <w:p w:rsidR="001A5A11" w:rsidRDefault="001A5A11">
      <w:pPr>
        <w:pStyle w:val="Tekstpodstawowy"/>
        <w:spacing w:before="3"/>
        <w:rPr>
          <w:b/>
          <w:sz w:val="26"/>
        </w:rPr>
      </w:pP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833"/>
        </w:tabs>
        <w:spacing w:before="57" w:line="276" w:lineRule="auto"/>
        <w:ind w:right="162"/>
        <w:jc w:val="both"/>
        <w:rPr>
          <w:lang w:val="pl-PL"/>
        </w:rPr>
      </w:pPr>
      <w:r w:rsidRPr="0074016A">
        <w:rPr>
          <w:lang w:val="pl-PL"/>
        </w:rPr>
        <w:t>Maksymalny czas trwania wyjazdu typu STA wynosi 60 dni w roku, jednak ze względu na ograniczone środki finansowe – fundusze będą wypłacane maksymalnie za okres mobilności trwający 5</w:t>
      </w:r>
      <w:r w:rsidRPr="0074016A">
        <w:rPr>
          <w:spacing w:val="-5"/>
          <w:lang w:val="pl-PL"/>
        </w:rPr>
        <w:t xml:space="preserve"> </w:t>
      </w:r>
      <w:r w:rsidRPr="0074016A">
        <w:rPr>
          <w:lang w:val="pl-PL"/>
        </w:rPr>
        <w:t>dni.</w:t>
      </w: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833"/>
        </w:tabs>
        <w:spacing w:line="276" w:lineRule="auto"/>
        <w:ind w:right="162"/>
        <w:jc w:val="both"/>
        <w:rPr>
          <w:lang w:val="pl-PL"/>
        </w:rPr>
      </w:pPr>
      <w:r w:rsidRPr="0074016A">
        <w:rPr>
          <w:lang w:val="pl-PL"/>
        </w:rPr>
        <w:t xml:space="preserve">Pracownikowi wyjeżdżającemu na wymianę przyznawany jest ryczałt na podróż. Podstawą do rozliczeń są stawki ustalone przez Komisję Europejską, zgodnie z internetowym kalkulatorem odległości pomiędzy uczelnią wysyłającą (Zielona Góra), a uczelnią przyjmującą. (link do kalkulatora </w:t>
      </w:r>
      <w:hyperlink r:id="rId8">
        <w:r w:rsidRPr="0074016A">
          <w:rPr>
            <w:lang w:val="pl-PL"/>
          </w:rPr>
          <w:t>http://ec.europa.eu/programmes/erasmus-plus/tools/distance_en.htm)</w:t>
        </w:r>
      </w:hyperlink>
    </w:p>
    <w:p w:rsidR="001A5A11" w:rsidRPr="0074016A" w:rsidRDefault="001A5A11">
      <w:pPr>
        <w:pStyle w:val="Tekstpodstawowy"/>
        <w:spacing w:before="1"/>
        <w:rPr>
          <w:sz w:val="23"/>
          <w:lang w:val="pl-PL"/>
        </w:rPr>
      </w:pPr>
    </w:p>
    <w:tbl>
      <w:tblPr>
        <w:tblStyle w:val="TableNormal"/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051"/>
      </w:tblGrid>
      <w:tr w:rsidR="001A5A11" w:rsidTr="00702CBF">
        <w:trPr>
          <w:trHeight w:hRule="exact" w:val="427"/>
        </w:trPr>
        <w:tc>
          <w:tcPr>
            <w:tcW w:w="3117" w:type="dxa"/>
          </w:tcPr>
          <w:p w:rsidR="001A5A11" w:rsidRDefault="0074016A">
            <w:pPr>
              <w:pStyle w:val="TableParagraph"/>
              <w:spacing w:line="268" w:lineRule="exact"/>
              <w:ind w:left="1068" w:right="1068"/>
              <w:rPr>
                <w:b/>
              </w:rPr>
            </w:pPr>
            <w:proofErr w:type="spellStart"/>
            <w:r>
              <w:rPr>
                <w:b/>
              </w:rPr>
              <w:t>Odległość</w:t>
            </w:r>
            <w:proofErr w:type="spellEnd"/>
          </w:p>
        </w:tc>
        <w:tc>
          <w:tcPr>
            <w:tcW w:w="3051" w:type="dxa"/>
          </w:tcPr>
          <w:p w:rsidR="001A5A11" w:rsidRDefault="0074016A">
            <w:pPr>
              <w:pStyle w:val="TableParagraph"/>
              <w:spacing w:line="268" w:lineRule="exact"/>
              <w:ind w:left="1077" w:right="1076"/>
              <w:rPr>
                <w:b/>
              </w:rPr>
            </w:pPr>
            <w:proofErr w:type="spellStart"/>
            <w:r>
              <w:rPr>
                <w:b/>
              </w:rPr>
              <w:t>Ryczałt</w:t>
            </w:r>
            <w:proofErr w:type="spellEnd"/>
            <w:r>
              <w:rPr>
                <w:b/>
              </w:rPr>
              <w:t xml:space="preserve"> €</w:t>
            </w:r>
          </w:p>
        </w:tc>
      </w:tr>
      <w:tr w:rsidR="00702CBF" w:rsidTr="00702CBF">
        <w:trPr>
          <w:trHeight w:hRule="exact" w:val="425"/>
        </w:trPr>
        <w:tc>
          <w:tcPr>
            <w:tcW w:w="3117" w:type="dxa"/>
          </w:tcPr>
          <w:p w:rsidR="00702CBF" w:rsidRPr="00702CBF" w:rsidRDefault="00702CBF" w:rsidP="00702CBF">
            <w:pPr>
              <w:jc w:val="center"/>
            </w:pPr>
            <w:proofErr w:type="gramStart"/>
            <w:r w:rsidRPr="00702CBF">
              <w:t>od</w:t>
            </w:r>
            <w:proofErr w:type="gramEnd"/>
            <w:r w:rsidRPr="00702CBF">
              <w:t xml:space="preserve"> 10 do 99 km</w:t>
            </w:r>
          </w:p>
        </w:tc>
        <w:tc>
          <w:tcPr>
            <w:tcW w:w="3051" w:type="dxa"/>
          </w:tcPr>
          <w:p w:rsidR="00702CBF" w:rsidRDefault="00702CBF">
            <w:pPr>
              <w:pStyle w:val="TableParagraph"/>
              <w:spacing w:line="265" w:lineRule="exact"/>
              <w:ind w:left="1077" w:right="1073"/>
            </w:pPr>
            <w:r>
              <w:t>20</w:t>
            </w:r>
          </w:p>
        </w:tc>
      </w:tr>
      <w:tr w:rsidR="001A5A11" w:rsidTr="00702CBF">
        <w:trPr>
          <w:trHeight w:hRule="exact" w:val="425"/>
        </w:trPr>
        <w:tc>
          <w:tcPr>
            <w:tcW w:w="3117" w:type="dxa"/>
          </w:tcPr>
          <w:p w:rsidR="001A5A11" w:rsidRPr="00702CBF" w:rsidRDefault="00702CBF" w:rsidP="00702CBF">
            <w:pPr>
              <w:jc w:val="center"/>
            </w:pPr>
            <w:proofErr w:type="gramStart"/>
            <w:r w:rsidRPr="00702CBF">
              <w:t>od</w:t>
            </w:r>
            <w:proofErr w:type="gramEnd"/>
            <w:r w:rsidRPr="00702CBF">
              <w:t xml:space="preserve"> 100 do </w:t>
            </w:r>
            <w:r w:rsidR="0074016A" w:rsidRPr="00702CBF">
              <w:t>499 km</w:t>
            </w:r>
          </w:p>
        </w:tc>
        <w:tc>
          <w:tcPr>
            <w:tcW w:w="3051" w:type="dxa"/>
          </w:tcPr>
          <w:p w:rsidR="001A5A11" w:rsidRDefault="0074016A">
            <w:pPr>
              <w:pStyle w:val="TableParagraph"/>
              <w:spacing w:line="265" w:lineRule="exact"/>
              <w:ind w:left="1077" w:right="1073"/>
            </w:pPr>
            <w:r>
              <w:t>180</w:t>
            </w:r>
          </w:p>
        </w:tc>
      </w:tr>
      <w:tr w:rsidR="001A5A11" w:rsidTr="00702CBF">
        <w:trPr>
          <w:trHeight w:hRule="exact" w:val="427"/>
        </w:trPr>
        <w:tc>
          <w:tcPr>
            <w:tcW w:w="3117" w:type="dxa"/>
          </w:tcPr>
          <w:p w:rsidR="001A5A11" w:rsidRPr="00702CBF" w:rsidRDefault="00702CBF" w:rsidP="00702CBF">
            <w:pPr>
              <w:jc w:val="center"/>
            </w:pPr>
            <w:proofErr w:type="gramStart"/>
            <w:r w:rsidRPr="00702CBF">
              <w:t>od</w:t>
            </w:r>
            <w:proofErr w:type="gramEnd"/>
            <w:r w:rsidRPr="00702CBF">
              <w:t xml:space="preserve"> 500 do</w:t>
            </w:r>
            <w:r w:rsidR="0074016A" w:rsidRPr="00702CBF">
              <w:t xml:space="preserve"> 1999 km</w:t>
            </w:r>
          </w:p>
        </w:tc>
        <w:tc>
          <w:tcPr>
            <w:tcW w:w="3051" w:type="dxa"/>
          </w:tcPr>
          <w:p w:rsidR="001A5A11" w:rsidRDefault="0074016A">
            <w:pPr>
              <w:pStyle w:val="TableParagraph"/>
              <w:spacing w:line="268" w:lineRule="exact"/>
              <w:ind w:left="1077" w:right="1073"/>
            </w:pPr>
            <w:r>
              <w:t>275</w:t>
            </w:r>
          </w:p>
        </w:tc>
      </w:tr>
      <w:tr w:rsidR="001A5A11" w:rsidTr="00702CBF">
        <w:trPr>
          <w:trHeight w:hRule="exact" w:val="425"/>
        </w:trPr>
        <w:tc>
          <w:tcPr>
            <w:tcW w:w="3117" w:type="dxa"/>
          </w:tcPr>
          <w:p w:rsidR="001A5A11" w:rsidRPr="00702CBF" w:rsidRDefault="00702CBF" w:rsidP="00702CBF">
            <w:pPr>
              <w:jc w:val="center"/>
            </w:pPr>
            <w:proofErr w:type="gramStart"/>
            <w:r w:rsidRPr="00702CBF">
              <w:t>od</w:t>
            </w:r>
            <w:proofErr w:type="gramEnd"/>
            <w:r w:rsidRPr="00702CBF">
              <w:t xml:space="preserve"> 2000 do</w:t>
            </w:r>
            <w:r w:rsidR="0074016A" w:rsidRPr="00702CBF">
              <w:t xml:space="preserve"> 2999 km</w:t>
            </w:r>
          </w:p>
        </w:tc>
        <w:tc>
          <w:tcPr>
            <w:tcW w:w="3051" w:type="dxa"/>
          </w:tcPr>
          <w:p w:rsidR="001A5A11" w:rsidRDefault="0074016A">
            <w:pPr>
              <w:pStyle w:val="TableParagraph"/>
              <w:spacing w:line="265" w:lineRule="exact"/>
              <w:ind w:left="1077" w:right="1073"/>
            </w:pPr>
            <w:r>
              <w:t>360</w:t>
            </w:r>
          </w:p>
        </w:tc>
      </w:tr>
      <w:tr w:rsidR="001A5A11" w:rsidTr="00702CBF">
        <w:trPr>
          <w:trHeight w:hRule="exact" w:val="427"/>
        </w:trPr>
        <w:tc>
          <w:tcPr>
            <w:tcW w:w="3117" w:type="dxa"/>
          </w:tcPr>
          <w:p w:rsidR="001A5A11" w:rsidRPr="00702CBF" w:rsidRDefault="00702CBF" w:rsidP="00702CBF">
            <w:pPr>
              <w:jc w:val="center"/>
            </w:pPr>
            <w:proofErr w:type="gramStart"/>
            <w:r w:rsidRPr="00702CBF">
              <w:t>od</w:t>
            </w:r>
            <w:proofErr w:type="gramEnd"/>
            <w:r w:rsidRPr="00702CBF">
              <w:t xml:space="preserve"> 3000 do</w:t>
            </w:r>
            <w:r w:rsidR="0074016A" w:rsidRPr="00702CBF">
              <w:t xml:space="preserve"> 3999 km</w:t>
            </w:r>
          </w:p>
        </w:tc>
        <w:tc>
          <w:tcPr>
            <w:tcW w:w="3051" w:type="dxa"/>
          </w:tcPr>
          <w:p w:rsidR="001A5A11" w:rsidRDefault="0074016A">
            <w:pPr>
              <w:pStyle w:val="TableParagraph"/>
              <w:spacing w:line="268" w:lineRule="exact"/>
              <w:ind w:left="1077" w:right="1073"/>
            </w:pPr>
            <w:r>
              <w:t>530</w:t>
            </w:r>
          </w:p>
        </w:tc>
      </w:tr>
      <w:tr w:rsidR="001A5A11" w:rsidTr="00702CBF">
        <w:trPr>
          <w:trHeight w:hRule="exact" w:val="425"/>
        </w:trPr>
        <w:tc>
          <w:tcPr>
            <w:tcW w:w="3117" w:type="dxa"/>
          </w:tcPr>
          <w:p w:rsidR="001A5A11" w:rsidRPr="00702CBF" w:rsidRDefault="00702CBF" w:rsidP="00702CBF">
            <w:pPr>
              <w:jc w:val="center"/>
            </w:pPr>
            <w:proofErr w:type="gramStart"/>
            <w:r w:rsidRPr="00702CBF">
              <w:t>od</w:t>
            </w:r>
            <w:proofErr w:type="gramEnd"/>
            <w:r w:rsidRPr="00702CBF">
              <w:t xml:space="preserve"> 4000 do</w:t>
            </w:r>
            <w:r w:rsidR="0074016A" w:rsidRPr="00702CBF">
              <w:t xml:space="preserve"> 7999 km</w:t>
            </w:r>
          </w:p>
        </w:tc>
        <w:tc>
          <w:tcPr>
            <w:tcW w:w="3051" w:type="dxa"/>
          </w:tcPr>
          <w:p w:rsidR="001A5A11" w:rsidRDefault="0074016A">
            <w:pPr>
              <w:pStyle w:val="TableParagraph"/>
              <w:spacing w:line="265" w:lineRule="exact"/>
              <w:ind w:left="1077" w:right="1073"/>
            </w:pPr>
            <w:r>
              <w:t>820</w:t>
            </w:r>
          </w:p>
        </w:tc>
      </w:tr>
      <w:tr w:rsidR="001A5A11" w:rsidTr="00702CBF">
        <w:trPr>
          <w:trHeight w:hRule="exact" w:val="427"/>
        </w:trPr>
        <w:tc>
          <w:tcPr>
            <w:tcW w:w="3117" w:type="dxa"/>
          </w:tcPr>
          <w:p w:rsidR="001A5A11" w:rsidRPr="00702CBF" w:rsidRDefault="0074016A" w:rsidP="00702CBF">
            <w:pPr>
              <w:jc w:val="center"/>
            </w:pPr>
            <w:r w:rsidRPr="00702CBF">
              <w:t>8000 km</w:t>
            </w:r>
            <w:r w:rsidR="00702CBF" w:rsidRPr="00702CBF">
              <w:t xml:space="preserve"> </w:t>
            </w:r>
            <w:proofErr w:type="spellStart"/>
            <w:r w:rsidR="00702CBF" w:rsidRPr="00702CBF">
              <w:t>lub</w:t>
            </w:r>
            <w:proofErr w:type="spellEnd"/>
            <w:r w:rsidR="00702CBF" w:rsidRPr="00702CBF">
              <w:t xml:space="preserve"> </w:t>
            </w:r>
            <w:proofErr w:type="spellStart"/>
            <w:r w:rsidR="00702CBF" w:rsidRPr="00702CBF">
              <w:t>więcej</w:t>
            </w:r>
            <w:proofErr w:type="spellEnd"/>
          </w:p>
        </w:tc>
        <w:tc>
          <w:tcPr>
            <w:tcW w:w="3051" w:type="dxa"/>
          </w:tcPr>
          <w:p w:rsidR="001A5A11" w:rsidRDefault="007C7B3E">
            <w:pPr>
              <w:pStyle w:val="TableParagraph"/>
              <w:spacing w:line="268" w:lineRule="exact"/>
              <w:ind w:left="1077" w:right="1076"/>
            </w:pPr>
            <w:r>
              <w:t>15</w:t>
            </w:r>
            <w:r w:rsidR="0074016A">
              <w:t>00</w:t>
            </w:r>
          </w:p>
        </w:tc>
      </w:tr>
    </w:tbl>
    <w:p w:rsidR="001A5A11" w:rsidRDefault="001A5A11">
      <w:pPr>
        <w:spacing w:line="268" w:lineRule="exact"/>
        <w:sectPr w:rsidR="001A5A11">
          <w:type w:val="continuous"/>
          <w:pgSz w:w="11900" w:h="16840"/>
          <w:pgMar w:top="300" w:right="960" w:bottom="280" w:left="1020" w:header="708" w:footer="708" w:gutter="0"/>
          <w:cols w:space="708"/>
        </w:sectPr>
      </w:pPr>
    </w:p>
    <w:p w:rsidR="001A5A11" w:rsidRPr="0074016A" w:rsidRDefault="0074016A">
      <w:pPr>
        <w:pStyle w:val="Tekstpodstawowy"/>
        <w:spacing w:before="32" w:line="273" w:lineRule="auto"/>
        <w:ind w:left="460" w:right="104"/>
        <w:jc w:val="both"/>
        <w:rPr>
          <w:lang w:val="pl-PL"/>
        </w:rPr>
      </w:pPr>
      <w:r w:rsidRPr="0074016A">
        <w:rPr>
          <w:lang w:val="pl-PL"/>
        </w:rPr>
        <w:lastRenderedPageBreak/>
        <w:t>W przypadku finansowania kosztów podróży z innych środków np. środków instytutu/wydziału ryczałt nie będzie wypłacany.</w:t>
      </w:r>
    </w:p>
    <w:p w:rsidR="001A5A11" w:rsidRPr="0074016A" w:rsidRDefault="001A5A11">
      <w:pPr>
        <w:pStyle w:val="Tekstpodstawowy"/>
        <w:spacing w:before="3"/>
        <w:rPr>
          <w:sz w:val="23"/>
          <w:lang w:val="pl-PL"/>
        </w:rPr>
      </w:pP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473"/>
        </w:tabs>
        <w:spacing w:line="276" w:lineRule="auto"/>
        <w:ind w:left="472" w:right="103"/>
        <w:jc w:val="both"/>
        <w:rPr>
          <w:lang w:val="pl-PL"/>
        </w:rPr>
      </w:pPr>
      <w:r w:rsidRPr="0074016A">
        <w:rPr>
          <w:lang w:val="pl-PL"/>
        </w:rPr>
        <w:t xml:space="preserve">Okres pobytu poświadczony przez uczelnię/instytucję zagraniczną musi być taki sam jak okres pobytu podany w Indywidualnym Programie Nauczania/Szkolenia (Staff </w:t>
      </w:r>
      <w:proofErr w:type="spellStart"/>
      <w:r w:rsidRPr="0074016A">
        <w:rPr>
          <w:lang w:val="pl-PL"/>
        </w:rPr>
        <w:t>Mobility</w:t>
      </w:r>
      <w:proofErr w:type="spellEnd"/>
      <w:r w:rsidRPr="0074016A">
        <w:rPr>
          <w:lang w:val="pl-PL"/>
        </w:rPr>
        <w:t xml:space="preserve"> for </w:t>
      </w:r>
      <w:proofErr w:type="spellStart"/>
      <w:r w:rsidRPr="0074016A">
        <w:rPr>
          <w:lang w:val="pl-PL"/>
        </w:rPr>
        <w:t>Teaching</w:t>
      </w:r>
      <w:proofErr w:type="spellEnd"/>
      <w:r w:rsidRPr="0074016A">
        <w:rPr>
          <w:lang w:val="pl-PL"/>
        </w:rPr>
        <w:t xml:space="preserve">/Training – </w:t>
      </w:r>
      <w:proofErr w:type="spellStart"/>
      <w:r w:rsidRPr="0074016A">
        <w:rPr>
          <w:lang w:val="pl-PL"/>
        </w:rPr>
        <w:t>Mobility</w:t>
      </w:r>
      <w:proofErr w:type="spellEnd"/>
      <w:r w:rsidRPr="0074016A">
        <w:rPr>
          <w:lang w:val="pl-PL"/>
        </w:rPr>
        <w:t xml:space="preserve"> Agreeme</w:t>
      </w:r>
      <w:r w:rsidR="001E02ED">
        <w:rPr>
          <w:lang w:val="pl-PL"/>
        </w:rPr>
        <w:t xml:space="preserve">nt) oraz w raporcie uczestnika wypełnionym </w:t>
      </w:r>
      <w:r w:rsidRPr="0074016A">
        <w:rPr>
          <w:lang w:val="pl-PL"/>
        </w:rPr>
        <w:t>po</w:t>
      </w:r>
      <w:r w:rsidRPr="0074016A">
        <w:rPr>
          <w:spacing w:val="-30"/>
          <w:lang w:val="pl-PL"/>
        </w:rPr>
        <w:t xml:space="preserve"> </w:t>
      </w:r>
      <w:r w:rsidRPr="0074016A">
        <w:rPr>
          <w:lang w:val="pl-PL"/>
        </w:rPr>
        <w:t>powrocie.</w:t>
      </w:r>
    </w:p>
    <w:p w:rsidR="001A5A11" w:rsidRPr="0074016A" w:rsidRDefault="006E6DE7">
      <w:pPr>
        <w:pStyle w:val="Akapitzlist"/>
        <w:numPr>
          <w:ilvl w:val="0"/>
          <w:numId w:val="2"/>
        </w:numPr>
        <w:tabs>
          <w:tab w:val="left" w:pos="473"/>
        </w:tabs>
        <w:spacing w:line="273" w:lineRule="auto"/>
        <w:ind w:left="472" w:right="103"/>
        <w:jc w:val="both"/>
        <w:rPr>
          <w:lang w:val="pl-PL"/>
        </w:rPr>
      </w:pPr>
      <w:r>
        <w:rPr>
          <w:lang w:val="pl-PL"/>
        </w:rPr>
        <w:t>Fundusze Erasmus+ będą wypłacane na podstawie Umowy podpisanej pomiędzy</w:t>
      </w:r>
      <w:r w:rsidR="0074016A" w:rsidRPr="0074016A">
        <w:rPr>
          <w:lang w:val="pl-PL"/>
        </w:rPr>
        <w:t>Uczelnią a uczestnikiem wymiany na indywidualny rachunek</w:t>
      </w:r>
      <w:r w:rsidR="0074016A" w:rsidRPr="0074016A">
        <w:rPr>
          <w:spacing w:val="-20"/>
          <w:lang w:val="pl-PL"/>
        </w:rPr>
        <w:t xml:space="preserve"> </w:t>
      </w:r>
      <w:r w:rsidR="0074016A" w:rsidRPr="0074016A">
        <w:rPr>
          <w:lang w:val="pl-PL"/>
        </w:rPr>
        <w:t>Uczestnika.</w:t>
      </w: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473"/>
        </w:tabs>
        <w:spacing w:before="3"/>
        <w:ind w:left="472"/>
        <w:jc w:val="left"/>
        <w:rPr>
          <w:lang w:val="pl-PL"/>
        </w:rPr>
      </w:pPr>
      <w:r w:rsidRPr="0074016A">
        <w:rPr>
          <w:lang w:val="pl-PL"/>
        </w:rPr>
        <w:t xml:space="preserve">Wyjazd pracownika należy zgłosić  poprzez złożenie </w:t>
      </w:r>
      <w:r w:rsidRPr="0074016A">
        <w:rPr>
          <w:i/>
          <w:lang w:val="pl-PL"/>
        </w:rPr>
        <w:t>Polecenia wyjazdu służbowego za</w:t>
      </w:r>
      <w:r w:rsidRPr="0074016A">
        <w:rPr>
          <w:i/>
          <w:spacing w:val="-34"/>
          <w:lang w:val="pl-PL"/>
        </w:rPr>
        <w:t xml:space="preserve"> </w:t>
      </w:r>
      <w:r w:rsidRPr="0074016A">
        <w:rPr>
          <w:i/>
          <w:lang w:val="pl-PL"/>
        </w:rPr>
        <w:t>granicę</w:t>
      </w:r>
      <w:r w:rsidRPr="0074016A">
        <w:rPr>
          <w:lang w:val="pl-PL"/>
        </w:rPr>
        <w:t>.</w:t>
      </w: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473"/>
        </w:tabs>
        <w:spacing w:before="41" w:line="276" w:lineRule="auto"/>
        <w:ind w:left="472" w:right="101"/>
        <w:jc w:val="both"/>
        <w:rPr>
          <w:lang w:val="pl-PL"/>
        </w:rPr>
      </w:pPr>
      <w:r w:rsidRPr="0074016A">
        <w:rPr>
          <w:lang w:val="pl-PL"/>
        </w:rPr>
        <w:t xml:space="preserve">Wysokość funduszy Erasmus+ będzie zgodna z kwotami wynikającymi z systemu elektronicznego </w:t>
      </w:r>
      <w:proofErr w:type="spellStart"/>
      <w:r w:rsidRPr="0074016A">
        <w:rPr>
          <w:lang w:val="pl-PL"/>
        </w:rPr>
        <w:t>Mobility</w:t>
      </w:r>
      <w:proofErr w:type="spellEnd"/>
      <w:r w:rsidRPr="0074016A">
        <w:rPr>
          <w:lang w:val="pl-PL"/>
        </w:rPr>
        <w:t xml:space="preserve"> </w:t>
      </w:r>
      <w:proofErr w:type="spellStart"/>
      <w:r w:rsidRPr="0074016A">
        <w:rPr>
          <w:lang w:val="pl-PL"/>
        </w:rPr>
        <w:t>Tool</w:t>
      </w:r>
      <w:proofErr w:type="spellEnd"/>
      <w:r w:rsidRPr="0074016A">
        <w:rPr>
          <w:lang w:val="pl-PL"/>
        </w:rPr>
        <w:t xml:space="preserve">, </w:t>
      </w:r>
      <w:proofErr w:type="spellStart"/>
      <w:r w:rsidRPr="0074016A">
        <w:rPr>
          <w:lang w:val="pl-PL"/>
        </w:rPr>
        <w:t>Mobility</w:t>
      </w:r>
      <w:proofErr w:type="spellEnd"/>
      <w:r w:rsidRPr="0074016A">
        <w:rPr>
          <w:lang w:val="pl-PL"/>
        </w:rPr>
        <w:t xml:space="preserve"> </w:t>
      </w:r>
      <w:proofErr w:type="spellStart"/>
      <w:r w:rsidRPr="0074016A">
        <w:rPr>
          <w:lang w:val="pl-PL"/>
        </w:rPr>
        <w:t>Tool</w:t>
      </w:r>
      <w:proofErr w:type="spellEnd"/>
      <w:r w:rsidRPr="0074016A">
        <w:rPr>
          <w:lang w:val="pl-PL"/>
        </w:rPr>
        <w:t>+ lub innego równoważnego, zgodnie ze stawkami określonymi przez Narodową Agencję Programu Erasmus+ w wysokości uzależnionej od kraju uczelni/instytucji zagranicznej, za okres mobilności, tj. za każdy dzień pobytu poświadczonego przez uczelnię/ instytucję zagraniczną oraz dni</w:t>
      </w:r>
      <w:r w:rsidRPr="0074016A">
        <w:rPr>
          <w:spacing w:val="-10"/>
          <w:lang w:val="pl-PL"/>
        </w:rPr>
        <w:t xml:space="preserve"> </w:t>
      </w:r>
      <w:r w:rsidRPr="0074016A">
        <w:rPr>
          <w:lang w:val="pl-PL"/>
        </w:rPr>
        <w:t>podróży.</w:t>
      </w: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473"/>
        </w:tabs>
        <w:spacing w:line="276" w:lineRule="auto"/>
        <w:ind w:left="472" w:right="104"/>
        <w:jc w:val="both"/>
        <w:rPr>
          <w:lang w:val="pl-PL"/>
        </w:rPr>
      </w:pPr>
      <w:r w:rsidRPr="0074016A">
        <w:rPr>
          <w:lang w:val="pl-PL"/>
        </w:rPr>
        <w:t xml:space="preserve">Nauczyciele akademiccy, którym nie zostały przyznane fundusze STA/STT, mogą zrealizować wyjazd bez dofinansowania. </w:t>
      </w: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473"/>
        </w:tabs>
        <w:spacing w:line="276" w:lineRule="auto"/>
        <w:ind w:left="472" w:right="103"/>
        <w:jc w:val="both"/>
        <w:rPr>
          <w:lang w:val="pl-PL"/>
        </w:rPr>
      </w:pPr>
      <w:r w:rsidRPr="0074016A">
        <w:rPr>
          <w:lang w:val="pl-PL"/>
        </w:rPr>
        <w:t xml:space="preserve">W przypadku łączenia wyjazdu typu STA/STT z wyjazdem w innych celach (np. udział w konferencji) należy w </w:t>
      </w:r>
      <w:r w:rsidRPr="0074016A">
        <w:rPr>
          <w:i/>
          <w:lang w:val="pl-PL"/>
        </w:rPr>
        <w:t xml:space="preserve">Poleceniu  wyjazdu  służbowego  za  granicę  </w:t>
      </w:r>
      <w:r w:rsidRPr="0074016A">
        <w:rPr>
          <w:lang w:val="pl-PL"/>
        </w:rPr>
        <w:t>określić  osobno  daty  związane  z  pobytem w ramach Programu Erasmus+ oraz daty związane z pozostałymi</w:t>
      </w:r>
      <w:r w:rsidRPr="0074016A">
        <w:rPr>
          <w:spacing w:val="-31"/>
          <w:lang w:val="pl-PL"/>
        </w:rPr>
        <w:t xml:space="preserve"> </w:t>
      </w:r>
      <w:r w:rsidRPr="0074016A">
        <w:rPr>
          <w:lang w:val="pl-PL"/>
        </w:rPr>
        <w:t>działaniami.</w:t>
      </w:r>
    </w:p>
    <w:p w:rsidR="001A5A11" w:rsidRPr="0074016A" w:rsidRDefault="0074016A">
      <w:pPr>
        <w:pStyle w:val="Akapitzlist"/>
        <w:numPr>
          <w:ilvl w:val="0"/>
          <w:numId w:val="2"/>
        </w:numPr>
        <w:tabs>
          <w:tab w:val="left" w:pos="473"/>
        </w:tabs>
        <w:ind w:left="472"/>
        <w:jc w:val="left"/>
        <w:rPr>
          <w:lang w:val="pl-PL"/>
        </w:rPr>
      </w:pPr>
      <w:r w:rsidRPr="0074016A">
        <w:rPr>
          <w:lang w:val="pl-PL"/>
        </w:rPr>
        <w:t>Rozliczenie wyjazdu i wypłaty stypendium obywa się na podstawie następujących</w:t>
      </w:r>
      <w:r w:rsidRPr="0074016A">
        <w:rPr>
          <w:spacing w:val="-31"/>
          <w:lang w:val="pl-PL"/>
        </w:rPr>
        <w:t xml:space="preserve"> </w:t>
      </w:r>
      <w:r w:rsidRPr="0074016A">
        <w:rPr>
          <w:lang w:val="pl-PL"/>
        </w:rPr>
        <w:t>dokumentów:</w:t>
      </w:r>
    </w:p>
    <w:p w:rsidR="001A5A11" w:rsidRPr="0074016A" w:rsidRDefault="001A5A11">
      <w:pPr>
        <w:pStyle w:val="Tekstpodstawowy"/>
        <w:spacing w:before="2"/>
        <w:rPr>
          <w:sz w:val="26"/>
          <w:lang w:val="pl-PL"/>
        </w:rPr>
      </w:pPr>
    </w:p>
    <w:p w:rsidR="001A5A11" w:rsidRPr="0074016A" w:rsidRDefault="0074016A">
      <w:pPr>
        <w:pStyle w:val="Akapitzlist"/>
        <w:numPr>
          <w:ilvl w:val="0"/>
          <w:numId w:val="1"/>
        </w:numPr>
        <w:tabs>
          <w:tab w:val="left" w:pos="473"/>
        </w:tabs>
        <w:spacing w:line="276" w:lineRule="auto"/>
        <w:ind w:right="102"/>
        <w:rPr>
          <w:lang w:val="pl-PL"/>
        </w:rPr>
      </w:pPr>
      <w:r w:rsidRPr="0074016A">
        <w:rPr>
          <w:lang w:val="pl-PL"/>
        </w:rPr>
        <w:t>zaświadczenia  z  uczelni/instytucji  przyjmującej  potwierdzającego  zrealizowany  okres  pobytu,     a w przypadku wyjazdów dydaktycznych również informację o ilości przeprowadzonych godzin  zajęć</w:t>
      </w:r>
      <w:r w:rsidRPr="0074016A">
        <w:rPr>
          <w:spacing w:val="-3"/>
          <w:lang w:val="pl-PL"/>
        </w:rPr>
        <w:t xml:space="preserve"> </w:t>
      </w:r>
      <w:r w:rsidRPr="0074016A">
        <w:rPr>
          <w:lang w:val="pl-PL"/>
        </w:rPr>
        <w:t>dydaktycznych,</w:t>
      </w:r>
    </w:p>
    <w:p w:rsidR="001A5A11" w:rsidRDefault="001E02ED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line="279" w:lineRule="exact"/>
        <w:jc w:val="left"/>
      </w:pPr>
      <w:proofErr w:type="spellStart"/>
      <w:proofErr w:type="gramStart"/>
      <w:r>
        <w:t>raport</w:t>
      </w:r>
      <w:proofErr w:type="spellEnd"/>
      <w:proofErr w:type="gramEnd"/>
      <w:r>
        <w:t xml:space="preserve"> </w:t>
      </w:r>
      <w:proofErr w:type="spellStart"/>
      <w:r>
        <w:t>uczestnika</w:t>
      </w:r>
      <w:proofErr w:type="spellEnd"/>
      <w:r w:rsidR="0074016A">
        <w:rPr>
          <w:spacing w:val="-3"/>
        </w:rPr>
        <w:t xml:space="preserve"> </w:t>
      </w:r>
      <w:r w:rsidR="0074016A">
        <w:t>online,</w:t>
      </w:r>
    </w:p>
    <w:p w:rsidR="001A5A11" w:rsidRDefault="001A5A11">
      <w:pPr>
        <w:pStyle w:val="Tekstpodstawowy"/>
        <w:spacing w:before="2"/>
        <w:rPr>
          <w:sz w:val="26"/>
        </w:rPr>
      </w:pPr>
    </w:p>
    <w:p w:rsidR="001A5A11" w:rsidRPr="0074016A" w:rsidRDefault="0074016A">
      <w:pPr>
        <w:pStyle w:val="Tekstpodstawowy"/>
        <w:spacing w:line="276" w:lineRule="auto"/>
        <w:ind w:left="460" w:right="102"/>
        <w:jc w:val="both"/>
        <w:rPr>
          <w:lang w:val="pl-PL"/>
        </w:rPr>
      </w:pPr>
      <w:r w:rsidRPr="0074016A">
        <w:rPr>
          <w:lang w:val="pl-PL"/>
        </w:rPr>
        <w:t xml:space="preserve">Dokumenty rozliczające wyjazd i wypłatę stypendium muszą zostać dostarczone do Działu Współpracy   z  Zagranicą  w   terminie  </w:t>
      </w:r>
      <w:r w:rsidRPr="0074016A">
        <w:rPr>
          <w:b/>
          <w:lang w:val="pl-PL"/>
        </w:rPr>
        <w:t xml:space="preserve">14   dni  </w:t>
      </w:r>
      <w:r w:rsidRPr="0074016A">
        <w:rPr>
          <w:lang w:val="pl-PL"/>
        </w:rPr>
        <w:t>od  zakończenia  okresu  mobilności  określonego   w</w:t>
      </w:r>
      <w:r w:rsidRPr="0074016A">
        <w:rPr>
          <w:spacing w:val="-1"/>
          <w:lang w:val="pl-PL"/>
        </w:rPr>
        <w:t xml:space="preserve"> </w:t>
      </w:r>
      <w:r w:rsidRPr="0074016A">
        <w:rPr>
          <w:lang w:val="pl-PL"/>
        </w:rPr>
        <w:t>Umowie.</w:t>
      </w:r>
    </w:p>
    <w:p w:rsidR="001A5A11" w:rsidRPr="0074016A" w:rsidRDefault="001A5A11">
      <w:pPr>
        <w:pStyle w:val="Tekstpodstawowy"/>
        <w:spacing w:before="10"/>
        <w:rPr>
          <w:lang w:val="pl-PL"/>
        </w:rPr>
      </w:pPr>
    </w:p>
    <w:p w:rsidR="000331E9" w:rsidRDefault="000331E9">
      <w:pPr>
        <w:pStyle w:val="Tekstpodstawowy"/>
        <w:ind w:left="4689" w:right="3551"/>
        <w:jc w:val="center"/>
        <w:rPr>
          <w:lang w:val="pl-PL"/>
        </w:rPr>
      </w:pPr>
    </w:p>
    <w:p w:rsidR="001A5A11" w:rsidRPr="0074016A" w:rsidRDefault="0074016A">
      <w:pPr>
        <w:pStyle w:val="Tekstpodstawowy"/>
        <w:ind w:left="4689" w:right="3551"/>
        <w:jc w:val="center"/>
        <w:rPr>
          <w:lang w:val="pl-PL"/>
        </w:rPr>
      </w:pPr>
      <w:r w:rsidRPr="0074016A">
        <w:rPr>
          <w:lang w:val="pl-PL"/>
        </w:rPr>
        <w:t>Zatwierdzam:</w:t>
      </w:r>
    </w:p>
    <w:p w:rsidR="001A5A11" w:rsidRPr="0074016A" w:rsidRDefault="001A5A11">
      <w:pPr>
        <w:pStyle w:val="Tekstpodstawowy"/>
        <w:rPr>
          <w:lang w:val="pl-PL"/>
        </w:rPr>
      </w:pPr>
    </w:p>
    <w:p w:rsidR="001A5A11" w:rsidRPr="0074016A" w:rsidRDefault="001A5A11">
      <w:pPr>
        <w:pStyle w:val="Tekstpodstawowy"/>
        <w:rPr>
          <w:lang w:val="pl-PL"/>
        </w:rPr>
      </w:pPr>
    </w:p>
    <w:p w:rsidR="001A5A11" w:rsidRPr="0074016A" w:rsidRDefault="001A5A11">
      <w:pPr>
        <w:pStyle w:val="Tekstpodstawowy"/>
        <w:spacing w:before="3"/>
        <w:rPr>
          <w:sz w:val="23"/>
          <w:lang w:val="pl-PL"/>
        </w:rPr>
      </w:pPr>
    </w:p>
    <w:p w:rsidR="005F4650" w:rsidRDefault="0074016A">
      <w:pPr>
        <w:ind w:left="4708" w:right="412"/>
        <w:rPr>
          <w:i/>
          <w:lang w:val="pl-PL"/>
        </w:rPr>
      </w:pPr>
      <w:r w:rsidRPr="0074016A">
        <w:rPr>
          <w:i/>
          <w:lang w:val="pl-PL"/>
        </w:rPr>
        <w:t xml:space="preserve">Prof. dr hab. </w:t>
      </w:r>
      <w:proofErr w:type="spellStart"/>
      <w:r w:rsidR="005F4650">
        <w:rPr>
          <w:i/>
          <w:lang w:val="pl-PL"/>
        </w:rPr>
        <w:t>Giorgi</w:t>
      </w:r>
      <w:proofErr w:type="spellEnd"/>
      <w:r w:rsidR="005F4650">
        <w:rPr>
          <w:i/>
          <w:lang w:val="pl-PL"/>
        </w:rPr>
        <w:t xml:space="preserve"> </w:t>
      </w:r>
      <w:proofErr w:type="spellStart"/>
      <w:r w:rsidR="005F4650">
        <w:rPr>
          <w:i/>
          <w:lang w:val="pl-PL"/>
        </w:rPr>
        <w:t>Melikidze</w:t>
      </w:r>
      <w:proofErr w:type="spellEnd"/>
    </w:p>
    <w:p w:rsidR="001A5A11" w:rsidRPr="005F4650" w:rsidRDefault="0074016A">
      <w:pPr>
        <w:ind w:left="4708" w:right="412"/>
        <w:rPr>
          <w:i/>
          <w:lang w:val="pl-PL"/>
        </w:rPr>
      </w:pPr>
      <w:r w:rsidRPr="0074016A">
        <w:rPr>
          <w:i/>
          <w:lang w:val="pl-PL"/>
        </w:rPr>
        <w:t xml:space="preserve">Prorektor ds. </w:t>
      </w:r>
      <w:r w:rsidRPr="005F4650">
        <w:rPr>
          <w:i/>
          <w:lang w:val="pl-PL"/>
        </w:rPr>
        <w:t>Nauki i Współpracy z Zagranicą</w:t>
      </w:r>
    </w:p>
    <w:sectPr w:rsidR="001A5A11" w:rsidRPr="005F4650">
      <w:pgSz w:w="11900" w:h="16840"/>
      <w:pgMar w:top="1100" w:right="10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B69"/>
    <w:multiLevelType w:val="hybridMultilevel"/>
    <w:tmpl w:val="B7003338"/>
    <w:lvl w:ilvl="0" w:tplc="5F3C186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1E318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E5A0A6D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C0F2757C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A8E2728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56627692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C23ACE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6CE270EE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F3906338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">
    <w:nsid w:val="6D8A22D1"/>
    <w:multiLevelType w:val="hybridMultilevel"/>
    <w:tmpl w:val="C39497F6"/>
    <w:lvl w:ilvl="0" w:tplc="512ED8E6">
      <w:start w:val="1"/>
      <w:numFmt w:val="decimal"/>
      <w:lvlText w:val="%1."/>
      <w:lvlJc w:val="left"/>
      <w:pPr>
        <w:ind w:left="832" w:hanging="360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9F784C5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3C563B3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924123C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E8650AE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9888109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520ABEC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1B8ACFAC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9D94D78A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1"/>
    <w:rsid w:val="000331E9"/>
    <w:rsid w:val="001A5A11"/>
    <w:rsid w:val="001E02ED"/>
    <w:rsid w:val="00223CD9"/>
    <w:rsid w:val="005F4650"/>
    <w:rsid w:val="00660625"/>
    <w:rsid w:val="006E6DE7"/>
    <w:rsid w:val="00702CBF"/>
    <w:rsid w:val="0074016A"/>
    <w:rsid w:val="007C7B3E"/>
    <w:rsid w:val="00F3679C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4" w:right="6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4" w:right="6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ec.europa.eu/programmes/erasmus-plus/tools/distance_en.htm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Erasmus+ Zasady finansowania wyjazdow pracownikow 2015 16</vt:lpstr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Zasady finansowania wyjazdow pracownikow 2015 16</dc:title>
  <dc:creator>Agnieszka Możejko</dc:creator>
  <cp:lastModifiedBy>Paweł Jarmużek</cp:lastModifiedBy>
  <cp:revision>2</cp:revision>
  <cp:lastPrinted>2017-10-03T06:17:00Z</cp:lastPrinted>
  <dcterms:created xsi:type="dcterms:W3CDTF">2019-07-09T18:15:00Z</dcterms:created>
  <dcterms:modified xsi:type="dcterms:W3CDTF">2019-07-09T18:15:00Z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2016-07-12T00:00:00Z</vt:filetime>
  </property>
</Properties>
</file>